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pPr>
      <w:r>
        <w:t xml:space="preserve">222. MIFANO YA HUKUMU</w:t>
      </w:r>
    </w:p>
    <w:p>
      <w:pPr>
        <w:pStyle w:val="P68B1DB1-Normal1"/>
        <w:shd w:val="clear" w:color="auto" w:fill="FFFFFF"/>
        <w:jc w:val="center"/>
      </w:pPr>
      <w:r>
        <w:t xml:space="preserve">"Basi kesheni, kwa maana hamjui siku wala saa atakayokuja Mwana wa Adamu"</w:t>
      </w:r>
    </w:p>
    <w:p>
      <w:pPr>
        <w:pStyle w:val="Normal"/>
        <w:shd w:val="clear" w:color="auto" w:fill="FFFFFF"/>
        <w:jc w:val="both"/>
        <w:rPr>
          <w:i/>
          <w:i/>
        </w:rPr>
      </w:pPr>
    </w:p>
    <w:p>
      <w:pPr>
        <w:pStyle w:val="P68B1DB1-Normal2"/>
        <w:shd w:val="clear" w:color="auto" w:fill="FFFFFF"/>
        <w:jc w:val="both"/>
      </w:pPr>
      <w:r>
        <w:t xml:space="preserve">Akigeuka kutoka kwenye majadiliano juu ya ishara za nyakati, Yesu alilenga umakini wake juu ya mahitaji ya wanafunzi wake. Alitafuta kuwaimarisha katika maandalizi yao ya ujio wake wa pili, licha ya hatari za siku zilizotangulia tukio hilo. Ushawishi ni wazi unatuhusu; kama tulivyo katika siku za mwisho na kadiri shida za zama hizi zinavyoongezeka, tunahitaji kupatikana tayari kwa kutokea ghafla kwa mwamuzi wa dunia yote.</w:t>
      </w:r>
    </w:p>
    <w:p>
      <w:pPr>
        <w:pStyle w:val="Normal"/>
        <w:shd w:val="clear" w:color="auto" w:fill="FFFFFF"/>
        <w:jc w:val="both"/>
        <w:rPr>
          <w:b/>
          <w:b/>
        </w:rPr>
      </w:pPr>
    </w:p>
    <w:p>
      <w:pPr>
        <w:pStyle w:val="P68B1DB1-Normal1"/>
        <w:shd w:val="clear" w:color="auto" w:fill="FFFFFF"/>
        <w:jc w:val="both"/>
      </w:pPr>
      <w:r>
        <w:t xml:space="preserve">Mathayo 25</w:t>
      </w:r>
    </w:p>
    <w:p>
      <w:pPr>
        <w:pStyle w:val="Normal"/>
        <w:shd w:val="clear" w:color="auto" w:fill="FFFFFF"/>
        <w:jc w:val="both"/>
      </w:pPr>
    </w:p>
    <w:p>
      <w:pPr>
        <w:pStyle w:val="P68B1DB1-Normal1"/>
        <w:shd w:val="clear" w:color="auto" w:fill="FFFFFF"/>
        <w:jc w:val="both"/>
      </w:pPr>
      <w:r>
        <w:t xml:space="preserve">MFANO WA WANAWALI KUMI (Mt. 25:1-13).</w:t>
      </w:r>
    </w:p>
    <w:p>
      <w:pPr>
        <w:pStyle w:val="Normal"/>
        <w:shd w:val="clear" w:color="auto" w:fill="FFFFFF"/>
        <w:jc w:val="both"/>
      </w:pPr>
      <w:r>
        <w:t xml:space="preserve">Ufunguo wa uelewa wetu wa mifano katika sura hii ni swali kutoka sura ya 24, "Ni nani basi mtumishi mwaminifu na mwenye hekima?" (mstari wa 45). Mfano wa wanawali kumi unasisitiza hekima ya watumishi wa Mungu, wakati mfano wa talanta unafundisha somo la uaminifu wao.</w:t>
      </w:r>
    </w:p>
    <w:p>
      <w:pPr>
        <w:pStyle w:val="Normal"/>
        <w:shd w:val="clear" w:color="auto" w:fill="FFFFFF"/>
        <w:jc w:val="both"/>
      </w:pPr>
    </w:p>
    <w:p>
      <w:pPr>
        <w:pStyle w:val="Normal"/>
        <w:shd w:val="clear" w:color="auto" w:fill="FFFFFF"/>
        <w:jc w:val="both"/>
      </w:pPr>
      <w:r>
        <w:t xml:space="preserve">"Ndipo ufalme wa mbinguni utafananishwa na wanawali kumi..." Tunauliza swali, lini? Jibu linatoka tena katika sura ya 24 ambapo tunasoma, "Bwana wa mtumishi huyo atakuja katika siku ..." (mstari wa 50). Katika mfano huu bwana arusi yuko karibu kuja, na wanawali kumi wanatoka kwenda kumlaki. Wote walikuwa na taa, lakini nusu ya kikundi hawakuwa na vifaa vya kutosha vya mafuta vya kudumu kwa muda mrefu. Wale kumi walitulia kusubiri na baada ya muda ikawa dhahiri kwamba kuja kwa Bwana kungekuwa baadaye kuliko ilivyotarajiwa. Wote walilala. Ghafla waliamshwa na kuja kwake. Watano walichukua taa zao na kwenda kumlaki lakini wengine walilazimika kwenda kupata vifaa safi kwani mafuta yao yote yalikuwa yametumika. Kufikia wakati walipokuwa wamerudi "wenye hekima" walikuwa tayari wamekaribishwa na bwana arusi. Wale "wapumbavu" waliomba wakubaliwe kwenye ndoa lakini walikataliwa.</w:t>
      </w:r>
    </w:p>
    <w:p>
      <w:pPr>
        <w:pStyle w:val="Normal"/>
        <w:shd w:val="clear" w:color="auto" w:fill="FFFFFF"/>
        <w:jc w:val="both"/>
      </w:pPr>
    </w:p>
    <w:p>
      <w:pPr>
        <w:pStyle w:val="Normal"/>
        <w:shd w:val="clear" w:color="auto" w:fill="FFFFFF"/>
        <w:jc w:val="both"/>
      </w:pPr>
      <w:r>
        <w:t xml:space="preserve">Hebu sasa tuchunguze baadhi ya masomo kutoka kwa mfano huu.</w:t>
      </w:r>
    </w:p>
    <w:p>
      <w:pPr>
        <w:pStyle w:val="Normal"/>
        <w:shd w:val="clear" w:color="auto" w:fill="FFFFFF"/>
        <w:jc w:val="both"/>
      </w:pPr>
    </w:p>
    <w:p>
      <w:pPr>
        <w:pStyle w:val="Normal"/>
        <w:shd w:val="clear" w:color="auto" w:fill="FFFFFF"/>
        <w:jc w:val="both"/>
      </w:pPr>
      <w:r>
        <w:t xml:space="preserve">Wanawali kumi wanawakilisha wale wote ambao wametoka miongoni mwa watu wa ulimwengu kuishi maisha ya usafi na kujitolea kwa Bwana wao. "Wanamngojea Mwana wa Mungu kutoka mbinguni" (1 Thes. 1:10). Katika mfano huo wamegawanywa katika vikundi viwili na wote wana taa. Nusu yao wana akiba ya mafuta ya kutosha kuweza kupunguza taa zao na kusonga mbele ili kuongozana na bwana harusi. Wengine wanaona usambazaji wao wa mafuta umechoka. Mafuta haya ni nini? Inawakilisha Neno la Mungu, lililoeleweka na kupendwa. Wote walianza katika maandalizi yao ya kuja kwa bwana arusi, lakini kikundi cha "wapumbavu" kinawakilisha wale wanafunzi ambao shauku yao inapungua na kwa sababu ya uzembe wao wanakuwa dhaifu kiroho. Wakati wa kuja kwa Kristo wanafunzi hawa watahisi hawajajiandaa na watajaribu sana kuboresha</w:t>
      </w:r>
      <w:r>
        <w:rPr>
          <w:b/>
        </w:rPr>
        <w:t xml:space="preserve"> </w:t>
      </w:r>
      <w:r>
        <w:t xml:space="preserve">msimamo wao. Lakini watakuwa wamechelewa sana. Sasa ni siku ya fursa (tazama Isa</w:t>
        <w:br/>
        <w:t xml:space="preserve">55:1, 3).</w:t>
      </w:r>
    </w:p>
    <w:p>
      <w:pPr>
        <w:pStyle w:val="Normal"/>
        <w:shd w:val="clear" w:color="auto" w:fill="FFFFFF"/>
        <w:jc w:val="both"/>
      </w:pPr>
    </w:p>
    <w:p>
      <w:pPr>
        <w:pStyle w:val="Normal"/>
        <w:shd w:val="clear" w:color="auto" w:fill="FFFFFF"/>
        <w:jc w:val="both"/>
      </w:pPr>
      <w:r>
        <w:t xml:space="preserve">"Hekima" inawakilisha wale wanaonyonya mafuta ya Neno kila siku. Inang 'aa sana mioyoni mwao, inaangazia maisha yao na kuwavutia wengine kwenye Ukweli (tazama Flp. 3:15, 16; Mt. 5:14-16). Paulo anasema "Neno la Kristo na likae ndani yetu kwa wingi" (Kol. 3:16). Darasa hili la wanafunzi wa Kristo haliruhusu mafuta kushindwa na nuru kuzimwa. Kwa kuomba na kusoma wako tayari kila wakati kwa wito na wana akiba ya kiroho ya kutosha kwenda kukutana naye na kukubaliwa naye.</w:t>
      </w:r>
    </w:p>
    <w:p>
      <w:pPr>
        <w:pStyle w:val="Normal"/>
        <w:shd w:val="clear" w:color="auto" w:fill="FFFFFF"/>
        <w:jc w:val="both"/>
      </w:pPr>
    </w:p>
    <w:p>
      <w:pPr>
        <w:pStyle w:val="Normal"/>
        <w:shd w:val="clear" w:color="auto" w:fill="FFFFFF"/>
        <w:tabs>
          <w:tab w:val="left" w:pos="6484" w:leader="none"/>
        </w:tabs>
        <w:jc w:val="both"/>
      </w:pPr>
      <w:r>
        <w:t xml:space="preserve">Wote walilala. Hii inazungumza juu ya kungojea kwa muda mrefu kwa wanafunzi wa Kristo wakati huo, kifo kiliwapata na "wamelala" kaburini wakisubiri ufufuo. "Usiku wa manane" wanaamshwa. Wale waliokuwa tayari waliingia pamoja naye kwenye ndoa. Wengine walikosa, licha ya maombi yao (linganisha; Mt. 7:21-23).</w:t>
        <w:tab/>
      </w:r>
    </w:p>
    <w:p>
      <w:pPr>
        <w:pStyle w:val="Normal"/>
        <w:shd w:val="clear" w:color="auto" w:fill="FFFFFF"/>
        <w:jc w:val="both"/>
      </w:pPr>
    </w:p>
    <w:p>
      <w:pPr>
        <w:pStyle w:val="Normal"/>
        <w:shd w:val="clear" w:color="auto" w:fill="FFFFFF"/>
        <w:jc w:val="both"/>
      </w:pPr>
      <w:r>
        <w:t xml:space="preserve">Ni somo kubwa sana kwetu. Lazima tuwe tayari kwa kuja kwa Kristo, sio tu kwa kutazama (ingawa hii ni muhimu pia) lakini kwa kuwa katika hali hai ya utayari kila siku. Kifo hufunga nyakati za fursa za kujiandaa. Hatujui tuna muda gani mbele yetu. Hebu "nuru ya ujuzi wa utukufu wa Mungu" iangaze mioyoni mwetu na katika kutenda matendo ya Kweli tuje "kwenye nuru ili matendo yake yaonekane, kwamba yamefanywa katika Mungu" (2 Kor. 4:6; Yn. 3:20, 21). Hatujui siku wala saa ya kuja kwake. Lakini tuna siku ya leo ambayo tunaweza kujiandaa.</w:t>
      </w:r>
    </w:p>
    <w:p>
      <w:pPr>
        <w:pStyle w:val="Normal"/>
        <w:shd w:val="clear" w:color="auto" w:fill="FFFFFF"/>
        <w:jc w:val="both"/>
      </w:pPr>
    </w:p>
    <w:p>
      <w:pPr>
        <w:pStyle w:val="P68B1DB1-Normal1"/>
        <w:shd w:val="clear" w:color="auto" w:fill="FFFFFF"/>
        <w:jc w:val="both"/>
      </w:pPr>
      <w:r>
        <w:t xml:space="preserve">MFANO WA TALANTA (Mt. 25:14-30).</w:t>
      </w:r>
    </w:p>
    <w:p>
      <w:pPr>
        <w:pStyle w:val="Normal"/>
        <w:shd w:val="clear" w:color="auto" w:fill="FFFFFF"/>
        <w:jc w:val="both"/>
      </w:pPr>
      <w:r>
        <w:t xml:space="preserve">Kama ilivyoonyeshwa hapo awali, mfano huu unasisitiza uaminifu wa watumishi wa Mungu, ukionyesha wale ambao ni "watumishi wema na waaminifu".</w:t>
      </w:r>
    </w:p>
    <w:p>
      <w:pPr>
        <w:pStyle w:val="Normal"/>
        <w:shd w:val="clear" w:color="auto" w:fill="FFFFFF"/>
        <w:jc w:val="both"/>
      </w:pPr>
    </w:p>
    <w:p>
      <w:pPr>
        <w:pStyle w:val="Normal"/>
        <w:shd w:val="clear" w:color="auto" w:fill="FFFFFF"/>
        <w:jc w:val="both"/>
      </w:pPr>
      <w:r>
        <w:t xml:space="preserve">Baada ya kuwapa watumishi wake "talanta" kadhaa, mtu fulani alisafiri kwenda nchi ya mbali. Talanta zilisambazwa kulingana na uwezo wa watumishi. Mmoja alikuwa na watano, mwingine wawili, na wa tatu, talanta moja. Watumishi wawili wa kwanza walitumia talanta zao vizuri, wakifanikiwa kuongeza thamani yao maradufu, ambayo walipongezwa sana na Bwana wao wakati wa kurudi kwake. Mtumishi wa mwisho hata hivyo, alificha talanta yake kwa udhuru duni kwamba alidhani bwana alikuwa mkali na kwa hivyo hatajaribu kuitumia. Ikiwa mtumishi huyu mwenye woga alimfikiria bwana wake kama alivyosema, basi alipaswa kufahamu zaidi hitaji la kutumia talanta yake vizuri. Alikosea katika mtazamo wake na katika kupuuza kwake. Alikuwa na uwezo na angeweza kushiriki katika furaha ya bwana wake lakini alijionyesha kuwa hafai kwa huduma zaidi. </w:t>
      </w:r>
    </w:p>
    <w:p>
      <w:pPr>
        <w:pStyle w:val="Normal"/>
        <w:shd w:val="clear" w:color="auto" w:fill="FFFFFF"/>
        <w:jc w:val="both"/>
      </w:pPr>
    </w:p>
    <w:p>
      <w:pPr>
        <w:pStyle w:val="Normal"/>
        <w:shd w:val="clear" w:color="auto" w:fill="FFFFFF"/>
        <w:jc w:val="both"/>
      </w:pPr>
      <w:r>
        <w:t xml:space="preserve">Yesu angependa tujifunze masomo gani kutoka kwa mfano huu? </w:t>
      </w:r>
    </w:p>
    <w:p>
      <w:pPr>
        <w:pStyle w:val="Normal"/>
        <w:shd w:val="clear" w:color="auto" w:fill="FFFFFF"/>
        <w:jc w:val="both"/>
      </w:pPr>
    </w:p>
    <w:p>
      <w:pPr>
        <w:pStyle w:val="Normal"/>
        <w:shd w:val="clear" w:color="auto" w:fill="FFFFFF"/>
        <w:jc w:val="both"/>
      </w:pPr>
      <w:r>
        <w:t xml:space="preserve">Mtu anayesafiri kwenda nchi ya mbali hakika anamwakilisha Yesu mwenyewe ambaye mara kwa mara aliwaambia wanafunzi wake juu ya kifo na ufufuo wake. Baada ya kupaa kwake, wanafunzi wangethamini kwamba walikuwa wameachwa na majukumu fulani wakati wa kutokuwepo kwake. Katika mfano huo, talanta zinafananishwa na pesa ambazo, zinapotumiwa vizuri, zinaweza kupata thamani. Katika karne ya kwanza karama mbalimbali za Roho zilitolewa kwa ajili ya kuanzishwa na kukua kwa eklezia mpya (1 Kor. 12:4-11; Efe. 4:11-13). Leo, tumepewa neno la injili ili tutumie kwa faida, kwa mfano, katika kukuza tabia yetu wenyewe kuelekea mfano kamili wa Kristo, katika kupanda mbegu ya injili na katika kujengana katika Ukweli. Haya ni matendo ya uaminifu. Uwezo wetu binafsi unatofautiana: wengine wana uwezo zaidi kuliko wengine: wengine, talanta tano; wengine, wawili; wengine, moja. Sio idadi ya talanta ambayo ni kanuni ya hukumu, lakini ni matumizi yake. Ongezeko kwa matumizi ya uaminifu - hiyo ndiyo kanuni ya kukubalika.</w:t>
      </w:r>
    </w:p>
    <w:p>
      <w:pPr>
        <w:pStyle w:val="Normal"/>
        <w:shd w:val="clear" w:color="auto" w:fill="FFFFFF"/>
        <w:jc w:val="both"/>
      </w:pPr>
    </w:p>
    <w:p>
      <w:pPr>
        <w:pStyle w:val="Normal"/>
        <w:shd w:val="clear" w:color="auto" w:fill="FFFFFF"/>
        <w:jc w:val="both"/>
      </w:pPr>
      <w:r>
        <w:t xml:space="preserve">Watumishi wawili wa kwanza walibarikiwa kwa sababu ya matumizi yao ya bidii ya "talanta". Vivyo hivyo, katika kiti cha hukumu cha Kristo, atawakaribisha kwa uchangamfu watumishi wake waaminifu na kuwapa nafasi mbalimbali katika usimamizi wa Ufalme, kama mfano wa pauni unavyoonyesha (tazama Lk. 19:12-27). Hapa katika mfano wa talanta wanapongezwa kuwa "wamekuwa waaminifu juu ya mambo machache. Nitakufanya uwe mtawala wa mambo mengi. " Kama Paulo asemavyo, "kila mtu atapokea thawabu yake mwenyewe kulingana na kazi yake mwenyewe" (1 Kor. 3:8). Yesu pia alizungumza juu ya matunda ya injili kama yenye kuzaa "mara thelathini, sitini, mia". Kwa hivyo furaha ya baadaye ya kutawala pamoja na Kristo na watakatifu wengine inategemea matumizi ya sasa, ya nguvu ya uwezo wetu katika utumishi wa Kristo.</w:t>
      </w:r>
    </w:p>
    <w:p>
      <w:pPr>
        <w:pStyle w:val="Normal"/>
        <w:shd w:val="clear" w:color="auto" w:fill="FFFFFF"/>
        <w:jc w:val="both"/>
      </w:pPr>
    </w:p>
    <w:p>
      <w:pPr>
        <w:pStyle w:val="Normal"/>
        <w:shd w:val="clear" w:color="auto" w:fill="FFFFFF"/>
        <w:jc w:val="both"/>
      </w:pPr>
      <w:r>
        <w:t xml:space="preserve">Kupuuza fursa zetu ni kuficha talanta yetu. Hata kama tuna talanta moja tu, hiyo inaweza kuongezeka, na sisi pia tunaweza kushiriki furaha ya bwana wetu. Lakini kuwa na hofu na kukata tamaa ni kuwa na maoni mabaya juu ya Mungu na kudharau uwezo wetu wa kufanya huduma muhimu. Hili ni kosa la kusikitisha. Kuzungumza sisi wenyewe nje ya majukumu yetu, kulalamika, kuonea wivu, ni kuonyesha ukosefu wa uaminifu. Haikuwa mafanikio sana ambayo yalisifiwa lakini uaminifu. Mungu pia anajua uwezo wetu. Anajua uwezo wetu. Tumtumikie kwa kadiri ya uwezo wetu. Kufanya vinginevyo ni kuhatarisha kuwa mmoja wa wale waliotupwa nje na huzuni kwa moyo uliopigwa kwa kuona furaha, ambayo inaweza kuwa yake, imepotea milele na milele.</w:t>
      </w:r>
    </w:p>
    <w:p>
      <w:pPr>
        <w:pStyle w:val="Normal"/>
        <w:shd w:val="clear" w:color="auto" w:fill="FFFFFF"/>
        <w:jc w:val="both"/>
      </w:pPr>
    </w:p>
    <w:p>
      <w:pPr>
        <w:pStyle w:val="P68B1DB1-Normal1"/>
        <w:shd w:val="clear" w:color="auto" w:fill="FFFFFF"/>
        <w:jc w:val="both"/>
      </w:pPr>
      <w:r>
        <w:t xml:space="preserve">HUKUMU YA KONDOO NA MBUZI (Mt. 25:31-46).</w:t>
      </w:r>
    </w:p>
    <w:p>
      <w:pPr>
        <w:pStyle w:val="Normal"/>
        <w:shd w:val="clear" w:color="auto" w:fill="FFFFFF"/>
        <w:jc w:val="both"/>
      </w:pPr>
      <w:r>
        <w:t xml:space="preserve">Hukumu imewasilishwa kama mfano na wenye haki wanaofananishwa na kondoo na waliokataliwa kama mbuzi. Kurudi kwa kushangaza kwa Kristo akiwa pamoja na malaika kutakuwa na lengo la hukumu. Anakuja kwanza kuwahukumu ndugu zake, (wanafunzi wake waliokusanywa na malaika kutoka mataifa yote). Hii ni hukumu ya nyumba yake (linganisha. 1 Pet. 4:17-19). Wanafunzi wanatathminiwa juu ya utumishi wao kwa ndugu zake; kwa sababu kwa kufanya utumishi, AU kukosa, kwa ndugu zake, walimpa (mstari wa 40).</w:t>
      </w:r>
    </w:p>
    <w:p>
      <w:pPr>
        <w:pStyle w:val="Normal"/>
        <w:shd w:val="clear" w:color="auto" w:fill="FFFFFF"/>
        <w:jc w:val="both"/>
      </w:pPr>
    </w:p>
    <w:p>
      <w:pPr>
        <w:pStyle w:val="Normal"/>
        <w:shd w:val="clear" w:color="auto" w:fill="FFFFFF"/>
        <w:jc w:val="both"/>
      </w:pPr>
      <w:r>
        <w:t xml:space="preserve">Tunapaswa kutambua kwa kupitisha kwamba matendo haya ya fadhili sio mambo pekee ambayo yanazingatiwa na Kristo katika hukumu yake. Katika mifano mada fulani inazingatiwa. Vivyo hivyo, hapa, tuna tu </w:t>
      </w:r>
      <w:r>
        <w:rPr>
          <w:color w:val="000000"/>
          <w:sz w:val="22"/>
        </w:rPr>
        <w:t xml:space="preserve">matendo yasiyo ya ubinafsi ya rehema yaliyoangaziwa. Hapo awali tulipata "hekima" na "uaminifu" ni sifa zinazotafutwa na Bwana. Usafi wa mafundisho na kazi za uaminifu zimeonyeshwa mahali pengine na Kristo na mitume kuwa mambo ya hukumu.</w:t>
      </w:r>
    </w:p>
    <w:p>
      <w:pPr>
        <w:pStyle w:val="Normal"/>
        <w:shd w:val="clear" w:color="auto" w:fill="FFFFFF"/>
        <w:jc w:val="both"/>
      </w:pPr>
    </w:p>
    <w:p>
      <w:pPr>
        <w:pStyle w:val="P68B1DB1-Normal3"/>
        <w:widowControl/>
        <w:shd w:val="clear" w:color="auto" w:fill="FFFFFF"/>
        <w:jc w:val="both"/>
      </w:pPr>
      <w:r>
        <w:t xml:space="preserve">Kondoo na mbuzi hutofautishwa kwa urahisi na mchungaji. Kondoo, pamoja na sifa zao za upole na upendeleo wa kuwasiliana na kundi, ni takwimu bora kwa tabaka la wenye haki. Mbuzi kwa upande mwingine huwa wanazurura kwa kujitegemea na kuonyesha tabia za kutotii, mbaya. Tabia na mazoea haya na mengine hutusaidia kutambua darasa la "kondoo" na "mbuzi" wakati wa hukumu.</w:t>
      </w:r>
    </w:p>
    <w:p>
      <w:pPr>
        <w:pStyle w:val="Normal"/>
        <w:widowControl/>
        <w:shd w:val="clear" w:color="auto" w:fill="FFFFFF"/>
        <w:jc w:val="both"/>
        <w:rPr>
          <w:color w:val="000000"/>
          <w:sz w:val="22"/>
        </w:rPr>
      </w:pPr>
    </w:p>
    <w:p>
      <w:pPr>
        <w:pStyle w:val="P68B1DB1-Normal3"/>
        <w:widowControl/>
        <w:shd w:val="clear" w:color="auto" w:fill="FFFFFF"/>
        <w:jc w:val="both"/>
      </w:pPr>
      <w:r>
        <w:t xml:space="preserve">Darasa la "kondoo" linaonyesha mshangao walipoambiwa kwamba walikuwa wamemhudumia Yesu kibinafsi. Lakini kama anavyoeleza, "Kwa kadiri mlivyomtendea mmojawapo wa hawa ndugu zangu walio wadogo, mmenitendea mimi" (mstari wa 40). Ni jambo la kusisimua kuzingatia kwamba Yesu anajitambulisha kwa karibu sana na ndugu zake, hivi kwamba tendo la fadhili walilofanyiwa linachukuliwa kuwa alilofanyiwa. Kinyume chake Sauli wa Tarso alipatikana na hatia ya kutesa si makanisa, bali Yesu mwenyewe (Matendo 9:5). Kuna faraja kubwa katika usemi, "Haoni aibu kuwaita ndugu" (Ebr. 2:11). Paulo anasema, "Kwa kadiri tulivyo na nafasi, tuwatendee watu wote mema, hasa wale wa nyumbani mwa imani" (Gal. 6:10). </w:t>
      </w:r>
    </w:p>
    <w:p>
      <w:pPr>
        <w:pStyle w:val="Normal"/>
        <w:widowControl/>
        <w:shd w:val="clear" w:color="auto" w:fill="FFFFFF"/>
        <w:jc w:val="both"/>
        <w:rPr>
          <w:color w:val="000000"/>
          <w:sz w:val="22"/>
        </w:rPr>
      </w:pPr>
    </w:p>
    <w:p>
      <w:pPr>
        <w:pStyle w:val="P68B1DB1-Normal3"/>
        <w:widowControl/>
        <w:shd w:val="clear" w:color="auto" w:fill="FFFFFF"/>
        <w:jc w:val="both"/>
      </w:pPr>
      <w:r>
        <w:t xml:space="preserve">Waliokataliwa wanatupwa kutoka mkono wake wa kushoto katika "moto wa milele", ishara ya kifo cha milele. Hawakuwa wameishi maisha ya "imani katika matendo". Wanakataliwa kwa kutomfanyia matendo ya rehema. Wanakataa mashtaka yake kwa msingi kwamba hawakuwahi kumwona akiwa na uhitaji na hivyo kukosa fursa ya kufanya kile anachodai sasa. Lakini jibu lake linawachanganya: anafunua tena kwamba matendo ya rehema yaliyoonyeshwa kwa mdogo wa ndugu zake yanahesabiwa kama matendo ya rehema kwake mwenyewe. Ilikuwa katika maisha ya kila siku, ambapo fursa iliongezeka, ndipo walikuwa wameshindwa.</w:t>
      </w:r>
    </w:p>
    <w:p>
      <w:pPr>
        <w:pStyle w:val="Normal"/>
        <w:widowControl/>
        <w:shd w:val="clear" w:color="auto" w:fill="FFFFFF"/>
        <w:jc w:val="both"/>
        <w:rPr>
          <w:color w:val="000000"/>
          <w:sz w:val="22"/>
        </w:rPr>
      </w:pPr>
    </w:p>
    <w:p>
      <w:pPr>
        <w:pStyle w:val="P68B1DB1-Normal3"/>
        <w:widowControl/>
        <w:shd w:val="clear" w:color="auto" w:fill="FFFFFF"/>
        <w:jc w:val="both"/>
      </w:pPr>
      <w:r>
        <w:t xml:space="preserve">Kwa hivyo hukumu inategemea kile tunachofanya hapa na sasa: hatutabadilika kuwa "kondoo" au "mbuzi" katika siku ya hukumu: tunakuwa moja au nyingine tunapoishi maisha yetu sasa.</w:t>
      </w:r>
    </w:p>
    <w:p>
      <w:pPr>
        <w:pStyle w:val="Normal"/>
        <w:widowControl/>
        <w:shd w:val="clear" w:color="auto" w:fill="FFFFFF"/>
        <w:jc w:val="both"/>
        <w:rPr>
          <w:color w:val="000000"/>
          <w:sz w:val="22"/>
        </w:rPr>
      </w:pPr>
    </w:p>
    <w:p>
      <w:pPr>
        <w:pStyle w:val="P68B1DB1-Normal3"/>
        <w:widowControl/>
        <w:shd w:val="clear" w:color="auto" w:fill="FFFFFF"/>
        <w:jc w:val="both"/>
      </w:pPr>
      <w:r>
        <w:t xml:space="preserve">Wale ambao wanaonekana wanastahili, hata hivyo, wanasonga mbele kuingia katika furaha za uzima wa milele. Haya yanasemwa na Danieli kuwa wenye hekima ambao wameamka kutoka kaburini, huenda kwenye uzima wa milele "kuangaza kama mwangaza wa anga; na wale wanaowageuza wengi kuwa waadilifu kama nyota milele na milele" (Dan. 12:2, 3).</w:t>
      </w:r>
    </w:p>
    <w:p>
      <w:pPr>
        <w:pStyle w:val="Normal"/>
        <w:widowControl/>
        <w:shd w:val="clear" w:color="auto" w:fill="FFFFFF"/>
        <w:jc w:val="both"/>
        <w:rPr>
          <w:color w:val="000000"/>
          <w:sz w:val="22"/>
        </w:rPr>
      </w:pPr>
    </w:p>
    <w:p>
      <w:pPr>
        <w:pStyle w:val="P68B1DB1-Normal4"/>
        <w:widowControl/>
        <w:shd w:val="clear" w:color="auto" w:fill="FFFFFF"/>
        <w:jc w:val="both"/>
      </w:pPr>
      <w:r>
        <w:t xml:space="preserve">SOMO KWETU:</w:t>
      </w:r>
    </w:p>
    <w:p>
      <w:pPr>
        <w:pStyle w:val="P68B1DB1-Normal3"/>
        <w:shd w:val="clear" w:color="auto" w:fill="FFFFFF"/>
        <w:jc w:val="both"/>
      </w:pPr>
      <w:r>
        <w:t xml:space="preserve">Kuwa wanawali wenye hekima ni kuwa katika hali ya utayari wa kuja kwa Kristo na kusifiwa naye kunahitaji matumizi yetu ya bidii ya talanta zetu katika utumishi wake. Utumishi huo, ingawa unatolewa kwa ndugu zake, utachukuliwa kama huduma kwa Kristo. Kukutwa na shughuli hii itakuwa kupata msisimko wa ajabu wa kusikia maneno hayo ya kukaribishwa katika kiti cha hukumu cha Kristo: "Njoni, mliobarikiwa na Baba yangu, urithini ufalme mliowekewa tayari tangu kuwekwa misingi ya ulimwengu"</w:t>
      </w:r>
    </w:p>
    <w:p>
      <w:pPr>
        <w:pStyle w:val="Normal"/>
        <w:shd w:val="clear" w:color="auto" w:fill="FFFFFF"/>
        <w:jc w:val="both"/>
      </w:pPr>
    </w:p>
    <w:p>
      <w:pPr>
        <w:pStyle w:val="P68B1DB1-Normal1"/>
        <w:shd w:val="clear" w:color="auto" w:fill="FFFFFF"/>
        <w:jc w:val="both"/>
      </w:pPr>
      <w:r>
        <w:t xml:space="preserve">MAKTABA YA MAREJELEO:</w:t>
      </w:r>
    </w:p>
    <w:p>
      <w:pPr>
        <w:pStyle w:val="Normal"/>
        <w:shd w:val="clear" w:color="auto" w:fill="FFFFFF"/>
        <w:jc w:val="both"/>
      </w:pPr>
      <w:r>
        <w:t xml:space="preserve">“Parables of the Messiah” (J. Carter) – Chapter 56-58</w:t>
      </w:r>
    </w:p>
    <w:p>
      <w:pPr>
        <w:pStyle w:val="Normal"/>
        <w:shd w:val="clear" w:color="auto" w:fill="FFFFFF"/>
        <w:jc w:val="both"/>
      </w:pPr>
      <w:r>
        <w:t xml:space="preserve">“Nazareth Revisited” (R. Roberts) – Sura ya 32, 33, 50</w:t>
      </w:r>
    </w:p>
    <w:p>
      <w:pPr>
        <w:pStyle w:val="Normal"/>
        <w:shd w:val="clear" w:color="auto" w:fill="FFFFFF"/>
        <w:jc w:val="both"/>
      </w:pPr>
      <w:r>
        <w:t xml:space="preserve">“A Life of Jesus” (M. Purkis) – Book 7, Chapters 4,8</w:t>
      </w:r>
    </w:p>
    <w:p>
      <w:pPr>
        <w:pStyle w:val="Normal"/>
        <w:shd w:val="clear" w:color="auto" w:fill="FFFFFF"/>
        <w:jc w:val="both"/>
      </w:pPr>
    </w:p>
    <w:p>
      <w:pPr>
        <w:pStyle w:val="P68B1DB1-Normal1"/>
        <w:shd w:val="clear" w:color="auto" w:fill="FFFFFF"/>
        <w:jc w:val="both"/>
      </w:pPr>
      <w:r>
        <w:t xml:space="preserve">MASWALI YA AYA:</w:t>
      </w:r>
    </w:p>
    <w:p>
      <w:pPr>
        <w:pStyle w:val="P68B1DB1-Normal2"/>
        <w:numPr>
          <w:ilvl w:val="0"/>
          <w:numId w:val="1"/>
        </w:numPr>
        <w:shd w:val="clear" w:color="auto" w:fill="FFFFFF"/>
        <w:jc w:val="both"/>
      </w:pPr>
      <w:r>
        <w:t xml:space="preserve">Eleza jinsi wanawali wenye hekima 5 walivyojitayarisha kwa ajili ya kuja kwa Bwana-arusi.</w:t>
      </w:r>
    </w:p>
    <w:p>
      <w:pPr>
        <w:pStyle w:val="P68B1DB1-Normal2"/>
        <w:numPr>
          <w:ilvl w:val="0"/>
          <w:numId w:val="1"/>
        </w:numPr>
        <w:shd w:val="clear" w:color="auto" w:fill="FFFFFF"/>
        <w:jc w:val="both"/>
      </w:pPr>
      <w:r>
        <w:t xml:space="preserve">Kutoka kwa mfano wa talanta zinaonyesha talanta ni nini na jinsi tunavyopaswa kuzitumia leo.</w:t>
      </w:r>
    </w:p>
    <w:p>
      <w:pPr>
        <w:pStyle w:val="P68B1DB1-Normal2"/>
        <w:numPr>
          <w:ilvl w:val="0"/>
          <w:numId w:val="1"/>
        </w:numPr>
        <w:shd w:val="clear" w:color="auto" w:fill="FFFFFF"/>
        <w:jc w:val="both"/>
      </w:pPr>
      <w:r>
        <w:t xml:space="preserve">Eleza kwa nini darasa la "kondoo" linaidhinishwa katika kiti cha hukumu cha Kristo.</w:t>
      </w:r>
    </w:p>
    <w:p>
      <w:pPr>
        <w:pStyle w:val="Normal"/>
        <w:shd w:val="clear" w:color="auto" w:fill="FFFFFF"/>
        <w:jc w:val="both"/>
        <w:rPr>
          <w:i/>
          <w:i/>
        </w:rPr>
      </w:pPr>
    </w:p>
    <w:p>
      <w:pPr>
        <w:pStyle w:val="P68B1DB1-Normal1"/>
        <w:shd w:val="clear" w:color="auto" w:fill="FFFFFF"/>
        <w:jc w:val="both"/>
      </w:pPr>
      <w:r>
        <w:t xml:space="preserve">MASWALI YA INSHA:</w:t>
      </w:r>
    </w:p>
    <w:p>
      <w:pPr>
        <w:pStyle w:val="P68B1DB1-Normal2"/>
        <w:numPr>
          <w:ilvl w:val="0"/>
          <w:numId w:val="2"/>
        </w:numPr>
        <w:shd w:val="clear" w:color="auto" w:fill="FFFFFF"/>
        <w:jc w:val="both"/>
      </w:pPr>
      <w:r>
        <w:t xml:space="preserve">Eleza sifa za "wanawali wenye hekima na wapumbavu".</w:t>
      </w:r>
    </w:p>
    <w:p>
      <w:pPr>
        <w:pStyle w:val="P68B1DB1-Normal2"/>
        <w:numPr>
          <w:ilvl w:val="0"/>
          <w:numId w:val="2"/>
        </w:numPr>
        <w:shd w:val="clear" w:color="auto" w:fill="FFFFFF"/>
        <w:jc w:val="both"/>
      </w:pPr>
      <w:r>
        <w:t xml:space="preserve">Tofautisha mtazamo wa mtumishi na talanta tano na ule wa mtumishi na talanta moja.</w:t>
      </w:r>
    </w:p>
    <w:p>
      <w:pPr>
        <w:pStyle w:val="P68B1DB1-Normal2"/>
        <w:numPr>
          <w:ilvl w:val="0"/>
          <w:numId w:val="2"/>
        </w:numPr>
        <w:shd w:val="clear" w:color="auto" w:fill="FFFFFF"/>
        <w:jc w:val="both"/>
      </w:pPr>
      <w:r>
        <w:t xml:space="preserve">Eleza mfano wa Kondoo na Mbuzi.</w:t>
      </w:r>
    </w:p>
    <w:p>
      <w:pPr>
        <w:pStyle w:val="Normal"/>
        <w:shd w:val="clear" w:color="auto" w:fill="FFFFFF"/>
        <w:jc w:val="both"/>
        <w:rPr>
          <w:i/>
          <w:i/>
        </w:rPr>
      </w:pPr>
    </w:p>
    <w:p>
      <w:pPr>
        <w:pStyle w:val="Normal"/>
        <w:shd w:val="clear" w:color="auto" w:fill="FFFFFF"/>
        <w:jc w:val="center"/>
      </w:pPr>
      <w:r>
        <w:drawing>
          <wp:inline distT="0" distB="0" distL="19050" distR="9525">
            <wp:extent cx="1381125" cy="22193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381125" cy="2219325"/>
                    </a:xfrm>
                    <a:prstGeom prst="rect">
                      <a:avLst/>
                    </a:prstGeom>
                  </pic:spPr>
                </pic:pic>
              </a:graphicData>
            </a:graphic>
          </wp:inline>
        </w:drawing>
      </w:r>
    </w:p>
    <w:p>
      <w:pPr>
        <w:pStyle w:val="Normal"/>
        <w:shd w:val="clear" w:color="auto" w:fill="FFFFFF"/>
        <w:jc w:val="both"/>
      </w:pPr>
    </w:p>
    <w:p>
      <w:pPr>
        <w:pStyle w:val="Heading1"/>
        <w:shd w:fill="FFFFFF" w:val="clear"/>
      </w:pP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i w:val="false"/>
        <w:b w:val="false"/>
        <w:rFonts w:cs="Times New Roman"/>
      </w:rPr>
    </w:lvl>
    <w:lvl w:ilvl="1">
      <w:start w:val="1"/>
      <w:numFmt w:val="lowerLetter"/>
      <w:lvlText w:val="%2."/>
      <w:lvlJc w:val="left"/>
      <w:pPr>
        <w:tabs>
          <w:tab w:val="num" w:pos="1739"/>
        </w:tabs>
        <w:ind w:left="1739" w:hanging="360"/>
      </w:pPr>
      <w:rPr>
        <w:rFonts w:cs="Times New Roman"/>
      </w:rPr>
    </w:lvl>
    <w:lvl w:ilvl="2">
      <w:start w:val="1"/>
      <w:numFmt w:val="lowerRoman"/>
      <w:lvlText w:val="%3."/>
      <w:lvlJc w:val="right"/>
      <w:pPr>
        <w:tabs>
          <w:tab w:val="num" w:pos="2459"/>
        </w:tabs>
        <w:ind w:left="2459" w:hanging="180"/>
      </w:pPr>
      <w:rPr>
        <w:rFonts w:cs="Times New Roman"/>
      </w:rPr>
    </w:lvl>
    <w:lvl w:ilvl="3">
      <w:start w:val="1"/>
      <w:numFmt w:val="decimal"/>
      <w:lvlText w:val="%4."/>
      <w:lvlJc w:val="left"/>
      <w:pPr>
        <w:tabs>
          <w:tab w:val="num" w:pos="3179"/>
        </w:tabs>
        <w:ind w:left="3179" w:hanging="360"/>
      </w:pPr>
      <w:rPr>
        <w:rFonts w:cs="Times New Roman"/>
      </w:rPr>
    </w:lvl>
    <w:lvl w:ilvl="4">
      <w:start w:val="1"/>
      <w:numFmt w:val="lowerLetter"/>
      <w:lvlText w:val="%5."/>
      <w:lvlJc w:val="left"/>
      <w:pPr>
        <w:tabs>
          <w:tab w:val="num" w:pos="3899"/>
        </w:tabs>
        <w:ind w:left="3899" w:hanging="360"/>
      </w:pPr>
      <w:rPr>
        <w:rFonts w:cs="Times New Roman"/>
      </w:rPr>
    </w:lvl>
    <w:lvl w:ilvl="5">
      <w:start w:val="1"/>
      <w:numFmt w:val="lowerRoman"/>
      <w:lvlText w:val="%6."/>
      <w:lvlJc w:val="right"/>
      <w:pPr>
        <w:tabs>
          <w:tab w:val="num" w:pos="4619"/>
        </w:tabs>
        <w:ind w:left="4619" w:hanging="180"/>
      </w:pPr>
      <w:rPr>
        <w:rFonts w:cs="Times New Roman"/>
      </w:rPr>
    </w:lvl>
    <w:lvl w:ilvl="6">
      <w:start w:val="1"/>
      <w:numFmt w:val="decimal"/>
      <w:lvlText w:val="%7."/>
      <w:lvlJc w:val="left"/>
      <w:pPr>
        <w:tabs>
          <w:tab w:val="num" w:pos="5339"/>
        </w:tabs>
        <w:ind w:left="5339" w:hanging="360"/>
      </w:pPr>
      <w:rPr>
        <w:rFonts w:cs="Times New Roman"/>
      </w:rPr>
    </w:lvl>
    <w:lvl w:ilvl="7">
      <w:start w:val="1"/>
      <w:numFmt w:val="lowerLetter"/>
      <w:lvlText w:val="%8."/>
      <w:lvlJc w:val="left"/>
      <w:pPr>
        <w:tabs>
          <w:tab w:val="num" w:pos="6059"/>
        </w:tabs>
        <w:ind w:left="6059" w:hanging="360"/>
      </w:pPr>
      <w:rPr>
        <w:rFonts w:cs="Times New Roman"/>
      </w:rPr>
    </w:lvl>
    <w:lvl w:ilvl="8">
      <w:start w:val="1"/>
      <w:numFmt w:val="lowerRoman"/>
      <w:lvlText w:val="%9."/>
      <w:lvlJc w:val="right"/>
      <w:pPr>
        <w:tabs>
          <w:tab w:val="num" w:pos="6779"/>
        </w:tabs>
        <w:ind w:left="6779" w:hanging="180"/>
      </w:pPr>
      <w:rPr>
        <w:rFonts w:cs="Times New Roman"/>
      </w:rPr>
    </w:lvl>
  </w:abstractNum>
  <w:abstractNum w:abstractNumId="2">
    <w:lvl w:ilvl="0">
      <w:start w:val="1"/>
      <w:numFmt w:val="decimal"/>
      <w:lvlText w:val="%1."/>
      <w:lvlJc w:val="left"/>
      <w:pPr>
        <w:tabs>
          <w:tab w:val="num" w:pos="360"/>
        </w:tabs>
        <w:ind w:left="360" w:hanging="360"/>
      </w:pPr>
      <w:rPr>
        <w:i w:val="false"/>
        <w:b w:val="false"/>
        <w:rFonts w:cs="Times New Roman"/>
      </w:rPr>
    </w:lvl>
    <w:lvl w:ilvl="1">
      <w:start w:val="1"/>
      <w:numFmt w:val="lowerLetter"/>
      <w:lvlText w:val="%2."/>
      <w:lvlJc w:val="left"/>
      <w:pPr>
        <w:tabs>
          <w:tab w:val="num" w:pos="1739"/>
        </w:tabs>
        <w:ind w:left="1739" w:hanging="360"/>
      </w:pPr>
      <w:rPr>
        <w:rFonts w:cs="Times New Roman"/>
      </w:rPr>
    </w:lvl>
    <w:lvl w:ilvl="2">
      <w:start w:val="1"/>
      <w:numFmt w:val="lowerRoman"/>
      <w:lvlText w:val="%3."/>
      <w:lvlJc w:val="right"/>
      <w:pPr>
        <w:tabs>
          <w:tab w:val="num" w:pos="2459"/>
        </w:tabs>
        <w:ind w:left="2459" w:hanging="180"/>
      </w:pPr>
      <w:rPr>
        <w:rFonts w:cs="Times New Roman"/>
      </w:rPr>
    </w:lvl>
    <w:lvl w:ilvl="3">
      <w:start w:val="1"/>
      <w:numFmt w:val="decimal"/>
      <w:lvlText w:val="%4."/>
      <w:lvlJc w:val="left"/>
      <w:pPr>
        <w:tabs>
          <w:tab w:val="num" w:pos="3179"/>
        </w:tabs>
        <w:ind w:left="3179" w:hanging="360"/>
      </w:pPr>
      <w:rPr>
        <w:rFonts w:cs="Times New Roman"/>
      </w:rPr>
    </w:lvl>
    <w:lvl w:ilvl="4">
      <w:start w:val="1"/>
      <w:numFmt w:val="lowerLetter"/>
      <w:lvlText w:val="%5."/>
      <w:lvlJc w:val="left"/>
      <w:pPr>
        <w:tabs>
          <w:tab w:val="num" w:pos="3899"/>
        </w:tabs>
        <w:ind w:left="3899" w:hanging="360"/>
      </w:pPr>
      <w:rPr>
        <w:rFonts w:cs="Times New Roman"/>
      </w:rPr>
    </w:lvl>
    <w:lvl w:ilvl="5">
      <w:start w:val="1"/>
      <w:numFmt w:val="lowerRoman"/>
      <w:lvlText w:val="%6."/>
      <w:lvlJc w:val="right"/>
      <w:pPr>
        <w:tabs>
          <w:tab w:val="num" w:pos="4619"/>
        </w:tabs>
        <w:ind w:left="4619" w:hanging="180"/>
      </w:pPr>
      <w:rPr>
        <w:rFonts w:cs="Times New Roman"/>
      </w:rPr>
    </w:lvl>
    <w:lvl w:ilvl="6">
      <w:start w:val="1"/>
      <w:numFmt w:val="decimal"/>
      <w:lvlText w:val="%7."/>
      <w:lvlJc w:val="left"/>
      <w:pPr>
        <w:tabs>
          <w:tab w:val="num" w:pos="5339"/>
        </w:tabs>
        <w:ind w:left="5339" w:hanging="360"/>
      </w:pPr>
      <w:rPr>
        <w:rFonts w:cs="Times New Roman"/>
      </w:rPr>
    </w:lvl>
    <w:lvl w:ilvl="7">
      <w:start w:val="1"/>
      <w:numFmt w:val="lowerLetter"/>
      <w:lvlText w:val="%8."/>
      <w:lvlJc w:val="left"/>
      <w:pPr>
        <w:tabs>
          <w:tab w:val="num" w:pos="6059"/>
        </w:tabs>
        <w:ind w:left="6059" w:hanging="360"/>
      </w:pPr>
      <w:rPr>
        <w:rFonts w:cs="Times New Roman"/>
      </w:rPr>
    </w:lvl>
    <w:lvl w:ilvl="8">
      <w:start w:val="1"/>
      <w:numFmt w:val="lowerRoman"/>
      <w:lvlText w:val="%9."/>
      <w:lvlJc w:val="right"/>
      <w:pPr>
        <w:tabs>
          <w:tab w:val="num" w:pos="6779"/>
        </w:tabs>
        <w:ind w:left="6779"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pPrDefault>
      <w:pPr>
        <w:widowControl/>
      </w:pPr>
    </w:pPrDefault>
    <w:rPrDefault>
      <w:rPr>
        <w:rFonts w:ascii="Liberation Serif" w:hAnsi="Liberation Serif" w:cs="Lohit Devanagari" w:eastAsia="Noto Sans CJK SC Regular"/>
        <w:kern w:val="2"/>
        <w:sz w:val="24"/>
      </w:rPr>
    </w:rPrDefault>
  </w:docDefaults>
  <w:style w:type="paragraph" w:styleId="Normal">
    <w:name w:val="Normal"/>
    <w:qFormat/>
    <w:pPr>
      <w:widowControl/>
    </w:pPr>
    <w:rPr>
      <w:rFonts w:ascii="Liberation Serif" w:hAnsi="Liberation Serif" w:cs="Lohit Devanagari" w:eastAsia="Noto Sans CJK SC Regular"/>
      <w:color w:val="auto"/>
      <w:kern w:val="2"/>
      <w:sz w:val="24"/>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color w:val="000000"/>
      <w:sz w:val="44"/>
    </w:rPr>
  </w:style>
  <w:style w:type="character" w:styleId="ListLabel26">
    <w:name w:val="ListLabel 26"/>
    <w:qFormat/>
    <w:rPr>
      <w:rFonts w:cs="Times New Roman"/>
      <w:b w:val="false"/>
      <w:i w:val="false"/>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b w:val="false"/>
      <w:i w:val="false"/>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paragraph" w:styleId="Heading">
    <w:name w:val="Heading"/>
    <w:basedOn w:val="Normal"/>
    <w:next w:val="TextBody"/>
    <w:qFormat/>
    <w:pPr>
      <w:keepNext w:val="true"/>
      <w:spacing w:before="240" w:after="120"/>
    </w:pPr>
    <w:rPr>
      <w:rFonts w:ascii="Liberation Sans" w:hAnsi="Liberation Sans" w:cs="Lohit Devanagari" w:eastAsia="Noto Sans CJK SC Regular"/>
      <w:sz w:val="28"/>
    </w:rPr>
  </w:style>
  <w:style w:type="paragraph" w:styleId="TextBody">
    <w:name w:val="Body Text"/>
    <w:basedOn w:val="Normal"/>
    <w:pPr>
      <w:spacing w:lineRule="auto" w:line="276" w:before="0" w:after="140"/>
    </w:pPr>
  </w:style>
  <w:style w:type="paragraph" w:styleId="List">
    <w:name w:val="List"/>
    <w:basedOn w:val="TextBody"/>
    <w:rPr>
      <w:rFonts w:cs="Lohit Devanagari"/>
    </w:rPr>
  </w:style>
  <w:style w:type="paragraph" w:styleId="Caption">
    <w:name w:val="Caption"/>
    <w:basedOn w:val="Normal"/>
    <w:qFormat/>
    <w:pPr>
      <w:suppressLineNumbers/>
      <w:spacing w:before="120" w:after="120"/>
    </w:pPr>
    <w:rPr>
      <w:rFonts w:cs="Lohit Devanagari"/>
      <w:i/>
      <w:sz w:val="24"/>
    </w:rPr>
  </w:style>
  <w:style w:type="paragraph" w:styleId="Index">
    <w:name w:val="Index"/>
    <w:basedOn w:val="Normal"/>
    <w:qFormat/>
    <w:pPr>
      <w:suppressLineNumbers/>
    </w:pPr>
    <w:rPr>
      <w:rFonts w:cs="Lohit Devanagari"/>
    </w:rPr>
  </w:style>
  <w:style w:type="paragraph" w:styleId="P68B1DB1-Normal1">
    <w:name w:val="P68B1DB1-Normal1"/>
    <w:basedOn w:val="Normal"/>
    <w:rPr>
      <w:b/>
    </w:rPr>
  </w:style>
  <w:style w:type="paragraph" w:styleId="P68B1DB1-Normal2">
    <w:name w:val="P68B1DB1-Normal2"/>
    <w:basedOn w:val="Normal"/>
    <w:rPr>
      <w:i/>
    </w:rPr>
  </w:style>
  <w:style w:type="paragraph" w:styleId="P68B1DB1-Normal3">
    <w:name w:val="P68B1DB1-Normal3"/>
    <w:basedOn w:val="Normal"/>
    <w:rPr>
      <w:color w:val="000000"/>
      <w:sz w:val="22"/>
    </w:rPr>
  </w:style>
  <w:style w:type="paragraph" w:styleId="P68B1DB1-Normal4">
    <w:name w:val="P68B1DB1-Normal4"/>
    <w:basedOn w:val="Normal"/>
    <w:rPr>
      <w:b/>
      <w:color w:val="000000"/>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2174</Words>
  <Characters>10030</Characters>
  <CharactersWithSpaces>12162</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2019-01-09T17:25:56Z</dcterms:created>
  <dc:creator/>
  <dc:description/>
  <dc:language>en-GB</dc:language>
  <cp:lastModifiedBy/>
  <dcterms:modified xsi:type="dcterms:W3CDTF">2019-01-09T17:26:34Z</dcterms:modified>
  <cp:revision>1</cp:revision>
  <dc:subject/>
  <dc:title/>
</cp:coreProperties>
</file>